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42C6A" w14:textId="77777777" w:rsidR="00517290" w:rsidRDefault="00517290" w:rsidP="00517290">
      <w:pPr>
        <w:rPr>
          <w:b/>
        </w:rPr>
      </w:pPr>
      <w:r w:rsidRPr="001A060A">
        <w:rPr>
          <w:b/>
        </w:rPr>
        <w:t>Arts and Science</w:t>
      </w:r>
      <w:r>
        <w:rPr>
          <w:b/>
        </w:rPr>
        <w:t>s Distance Education Online Course Component Technical Review</w:t>
      </w:r>
      <w:r w:rsidRPr="001A060A">
        <w:rPr>
          <w:b/>
        </w:rPr>
        <w:t xml:space="preserve"> Checklist </w:t>
      </w:r>
    </w:p>
    <w:p w14:paraId="5338C54F" w14:textId="77777777" w:rsidR="00517290" w:rsidRDefault="00517290" w:rsidP="00517290">
      <w:pPr>
        <w:rPr>
          <w:b/>
        </w:rPr>
      </w:pPr>
    </w:p>
    <w:p w14:paraId="43F649A1" w14:textId="1A7C5F4C" w:rsidR="00517290" w:rsidRPr="00AE4F42" w:rsidRDefault="00517290" w:rsidP="00AE4F42">
      <w:pPr>
        <w:rPr>
          <w:b/>
        </w:rPr>
      </w:pPr>
      <w:r w:rsidRPr="00AE4F42">
        <w:rPr>
          <w:b/>
        </w:rPr>
        <w:t>Course:  Linguistics 2000</w:t>
      </w:r>
      <w:r w:rsidR="00AE4F42" w:rsidRPr="00AE4F42">
        <w:rPr>
          <w:b/>
        </w:rPr>
        <w:tab/>
      </w:r>
      <w:r w:rsidR="00AE4F42" w:rsidRPr="00AE4F42">
        <w:rPr>
          <w:b/>
        </w:rPr>
        <w:tab/>
      </w:r>
      <w:r w:rsidR="00AE4F42" w:rsidRPr="00AE4F42">
        <w:rPr>
          <w:b/>
        </w:rPr>
        <w:tab/>
      </w:r>
      <w:r w:rsidR="00AE4F42" w:rsidRPr="00AE4F42">
        <w:rPr>
          <w:b/>
        </w:rPr>
        <w:tab/>
      </w:r>
      <w:r w:rsidR="00AE4F42" w:rsidRPr="00AE4F42">
        <w:rPr>
          <w:b/>
        </w:rPr>
        <w:tab/>
      </w:r>
      <w:r w:rsidR="00AE4F42" w:rsidRPr="00AE4F42">
        <w:rPr>
          <w:b/>
        </w:rPr>
        <w:tab/>
      </w:r>
      <w:r w:rsidR="00AE4F42" w:rsidRPr="00AE4F42">
        <w:rPr>
          <w:b/>
        </w:rPr>
        <w:tab/>
      </w:r>
      <w:r w:rsidR="00AE4F42" w:rsidRPr="00AE4F42">
        <w:rPr>
          <w:b/>
        </w:rPr>
        <w:tab/>
      </w:r>
      <w:r w:rsidR="00AE4F42" w:rsidRPr="00AE4F42">
        <w:rPr>
          <w:b/>
        </w:rPr>
        <w:tab/>
      </w:r>
      <w:r w:rsidR="00AE4F42" w:rsidRPr="00AE4F42">
        <w:rPr>
          <w:b/>
        </w:rPr>
        <w:tab/>
      </w:r>
      <w:r w:rsidR="00AE4F42" w:rsidRPr="00AE4F42">
        <w:rPr>
          <w:b/>
        </w:rPr>
        <w:t>Date Reviewed:</w:t>
      </w:r>
      <w:r w:rsidR="00E44421">
        <w:t xml:space="preserve">  </w:t>
      </w:r>
      <w:r w:rsidR="00E44421">
        <w:rPr>
          <w:b/>
        </w:rPr>
        <w:t>02/03/14</w:t>
      </w:r>
      <w:bookmarkStart w:id="0" w:name="_GoBack"/>
      <w:bookmarkEnd w:id="0"/>
      <w:r w:rsidRPr="00AE4F42">
        <w:rPr>
          <w:b/>
        </w:rPr>
        <w:t xml:space="preserve"> </w:t>
      </w:r>
    </w:p>
    <w:p w14:paraId="5A738ED6" w14:textId="5731D9FC" w:rsidR="00517290" w:rsidRDefault="00AE4F42" w:rsidP="00517290">
      <w:pPr>
        <w:rPr>
          <w:b/>
        </w:rPr>
      </w:pPr>
      <w:r>
        <w:rPr>
          <w:b/>
        </w:rPr>
        <w:t>Instructor:  Jefferson Barlow</w:t>
      </w:r>
      <w:r>
        <w:rPr>
          <w:b/>
        </w:rPr>
        <w:tab/>
      </w:r>
      <w:r>
        <w:rPr>
          <w:b/>
        </w:rPr>
        <w:tab/>
      </w:r>
      <w:r>
        <w:rPr>
          <w:b/>
        </w:rPr>
        <w:tab/>
      </w:r>
      <w:r>
        <w:rPr>
          <w:b/>
        </w:rPr>
        <w:tab/>
      </w:r>
      <w:r>
        <w:rPr>
          <w:b/>
        </w:rPr>
        <w:tab/>
      </w:r>
      <w:r>
        <w:rPr>
          <w:b/>
        </w:rPr>
        <w:tab/>
      </w:r>
      <w:r>
        <w:rPr>
          <w:b/>
        </w:rPr>
        <w:tab/>
      </w:r>
      <w:r>
        <w:rPr>
          <w:b/>
        </w:rPr>
        <w:tab/>
      </w:r>
      <w:r>
        <w:rPr>
          <w:b/>
        </w:rPr>
        <w:tab/>
      </w:r>
      <w:r w:rsidRPr="00AE4F42">
        <w:rPr>
          <w:b/>
        </w:rPr>
        <w:t>Reviewed By:</w:t>
      </w:r>
      <w:r w:rsidR="00E44421">
        <w:rPr>
          <w:b/>
        </w:rPr>
        <w:t xml:space="preserve">  Mike Kaylor</w:t>
      </w:r>
      <w:r>
        <w:t xml:space="preserve"> </w:t>
      </w:r>
      <w:r w:rsidR="00517290">
        <w:rPr>
          <w:b/>
        </w:rPr>
        <w:t xml:space="preserve"> </w:t>
      </w:r>
    </w:p>
    <w:p w14:paraId="1E3B906B" w14:textId="77777777" w:rsidR="00517290" w:rsidRDefault="00517290" w:rsidP="00517290">
      <w:pPr>
        <w:rPr>
          <w:b/>
        </w:rPr>
      </w:pPr>
      <w:r>
        <w:rPr>
          <w:b/>
        </w:rPr>
        <w:t>Summary:  Autumn 2014 Course</w:t>
      </w:r>
    </w:p>
    <w:p w14:paraId="6E202931" w14:textId="77777777" w:rsidR="00517290" w:rsidRDefault="00517290" w:rsidP="00517290">
      <w:pPr>
        <w:rPr>
          <w:b/>
        </w:rPr>
      </w:pPr>
    </w:p>
    <w:p w14:paraId="62D93236" w14:textId="334E4237" w:rsidR="00517290" w:rsidRDefault="00517290" w:rsidP="00517290">
      <w:pPr>
        <w:rPr>
          <w:b/>
        </w:rPr>
      </w:pPr>
      <w:r>
        <w:rPr>
          <w:b/>
        </w:rPr>
        <w:t>COURSE TECHNOLOGY</w:t>
      </w:r>
      <w:r w:rsidR="00144B26">
        <w:rPr>
          <w:b/>
        </w:rPr>
        <w:t xml:space="preserve"> – LEARNER SUPPORT</w:t>
      </w:r>
    </w:p>
    <w:p w14:paraId="416833BC" w14:textId="77777777" w:rsidR="00517290" w:rsidRDefault="00517290" w:rsidP="00517290"/>
    <w:tbl>
      <w:tblPr>
        <w:tblStyle w:val="TableGrid"/>
        <w:tblW w:w="17208" w:type="dxa"/>
        <w:tblLayout w:type="fixed"/>
        <w:tblLook w:val="04A0" w:firstRow="1" w:lastRow="0" w:firstColumn="1" w:lastColumn="0" w:noHBand="0" w:noVBand="1"/>
      </w:tblPr>
      <w:tblGrid>
        <w:gridCol w:w="4698"/>
        <w:gridCol w:w="1109"/>
        <w:gridCol w:w="1260"/>
        <w:gridCol w:w="1327"/>
        <w:gridCol w:w="8814"/>
      </w:tblGrid>
      <w:tr w:rsidR="00517290" w14:paraId="507B6B6F" w14:textId="77777777" w:rsidTr="00517290">
        <w:tc>
          <w:tcPr>
            <w:tcW w:w="4698" w:type="dxa"/>
            <w:shd w:val="clear" w:color="auto" w:fill="CCCCCC"/>
          </w:tcPr>
          <w:p w14:paraId="55957F46" w14:textId="77777777" w:rsidR="00517290" w:rsidRPr="00162F0E" w:rsidRDefault="00517290" w:rsidP="00517290">
            <w:pPr>
              <w:jc w:val="center"/>
              <w:rPr>
                <w:b/>
              </w:rPr>
            </w:pPr>
            <w:r w:rsidRPr="00162F0E">
              <w:rPr>
                <w:b/>
              </w:rPr>
              <w:t>Standard</w:t>
            </w:r>
          </w:p>
        </w:tc>
        <w:tc>
          <w:tcPr>
            <w:tcW w:w="1109" w:type="dxa"/>
            <w:shd w:val="clear" w:color="auto" w:fill="CCCCCC"/>
          </w:tcPr>
          <w:p w14:paraId="6340814F" w14:textId="77777777" w:rsidR="00517290" w:rsidRPr="001A060A" w:rsidRDefault="00517290" w:rsidP="00517290">
            <w:pPr>
              <w:jc w:val="center"/>
              <w:rPr>
                <w:b/>
              </w:rPr>
            </w:pPr>
            <w:r>
              <w:rPr>
                <w:b/>
              </w:rPr>
              <w:t>Yes</w:t>
            </w:r>
          </w:p>
        </w:tc>
        <w:tc>
          <w:tcPr>
            <w:tcW w:w="1260" w:type="dxa"/>
            <w:shd w:val="clear" w:color="auto" w:fill="CCCCCC"/>
          </w:tcPr>
          <w:p w14:paraId="3CADAE95" w14:textId="77777777" w:rsidR="00517290" w:rsidRDefault="00517290" w:rsidP="00517290">
            <w:pPr>
              <w:jc w:val="center"/>
              <w:rPr>
                <w:b/>
              </w:rPr>
            </w:pPr>
            <w:r>
              <w:rPr>
                <w:b/>
              </w:rPr>
              <w:t>Yes</w:t>
            </w:r>
          </w:p>
          <w:p w14:paraId="6E0F5FC5" w14:textId="77777777" w:rsidR="00517290" w:rsidRPr="001A060A" w:rsidRDefault="00517290" w:rsidP="00517290">
            <w:pPr>
              <w:jc w:val="center"/>
              <w:rPr>
                <w:b/>
              </w:rPr>
            </w:pPr>
            <w:r w:rsidRPr="00162F0E">
              <w:rPr>
                <w:b/>
                <w:sz w:val="22"/>
              </w:rPr>
              <w:t>with Revisions</w:t>
            </w:r>
          </w:p>
        </w:tc>
        <w:tc>
          <w:tcPr>
            <w:tcW w:w="1327" w:type="dxa"/>
            <w:shd w:val="clear" w:color="auto" w:fill="CCCCCC"/>
          </w:tcPr>
          <w:p w14:paraId="5ED9FA02" w14:textId="77777777" w:rsidR="00517290" w:rsidRDefault="00517290" w:rsidP="00517290">
            <w:pPr>
              <w:jc w:val="center"/>
              <w:rPr>
                <w:b/>
              </w:rPr>
            </w:pPr>
            <w:r>
              <w:rPr>
                <w:b/>
              </w:rPr>
              <w:t>No</w:t>
            </w:r>
          </w:p>
          <w:p w14:paraId="6B58F8DD" w14:textId="77777777" w:rsidR="00517290" w:rsidRPr="001A060A" w:rsidRDefault="00517290" w:rsidP="00517290">
            <w:pPr>
              <w:jc w:val="center"/>
              <w:rPr>
                <w:b/>
              </w:rPr>
            </w:pPr>
          </w:p>
        </w:tc>
        <w:tc>
          <w:tcPr>
            <w:tcW w:w="8814" w:type="dxa"/>
            <w:shd w:val="clear" w:color="auto" w:fill="CCCCCC"/>
          </w:tcPr>
          <w:p w14:paraId="4F5023D4" w14:textId="77777777" w:rsidR="00517290" w:rsidRPr="001A060A" w:rsidRDefault="00517290" w:rsidP="00517290">
            <w:pPr>
              <w:jc w:val="center"/>
              <w:rPr>
                <w:b/>
              </w:rPr>
            </w:pPr>
            <w:r>
              <w:rPr>
                <w:b/>
              </w:rPr>
              <w:t>Feedback/Recommendations</w:t>
            </w:r>
          </w:p>
        </w:tc>
      </w:tr>
      <w:tr w:rsidR="00517290" w14:paraId="77689368" w14:textId="77777777" w:rsidTr="004D7365">
        <w:trPr>
          <w:trHeight w:val="530"/>
        </w:trPr>
        <w:tc>
          <w:tcPr>
            <w:tcW w:w="4698" w:type="dxa"/>
          </w:tcPr>
          <w:p w14:paraId="29D55EFC" w14:textId="77777777" w:rsidR="00517290" w:rsidRPr="00162F0E" w:rsidRDefault="00517290" w:rsidP="00517290">
            <w:pPr>
              <w:pStyle w:val="ListParagraph"/>
              <w:numPr>
                <w:ilvl w:val="0"/>
                <w:numId w:val="2"/>
              </w:numPr>
              <w:rPr>
                <w:sz w:val="20"/>
                <w:szCs w:val="20"/>
              </w:rPr>
            </w:pPr>
            <w:r w:rsidRPr="00162F0E">
              <w:rPr>
                <w:sz w:val="20"/>
                <w:szCs w:val="20"/>
              </w:rPr>
              <w:t>The tools and media support the course learning objectives.</w:t>
            </w:r>
          </w:p>
          <w:p w14:paraId="79A9C555" w14:textId="77777777" w:rsidR="00517290" w:rsidRDefault="00517290" w:rsidP="00517290"/>
        </w:tc>
        <w:tc>
          <w:tcPr>
            <w:tcW w:w="1109" w:type="dxa"/>
          </w:tcPr>
          <w:p w14:paraId="01043B47" w14:textId="65274ACF" w:rsidR="00517290" w:rsidRPr="00B06056" w:rsidRDefault="00E44421" w:rsidP="00517290">
            <w:pPr>
              <w:jc w:val="center"/>
              <w:rPr>
                <w:b/>
                <w:sz w:val="40"/>
                <w:szCs w:val="40"/>
              </w:rPr>
            </w:pPr>
            <w:r w:rsidRPr="005A7C41">
              <w:rPr>
                <w:rFonts w:ascii="Zapf Dingbats" w:hAnsi="Zapf Dingbats"/>
                <w:color w:val="000000"/>
              </w:rPr>
              <w:t>✔</w:t>
            </w:r>
          </w:p>
        </w:tc>
        <w:tc>
          <w:tcPr>
            <w:tcW w:w="1260" w:type="dxa"/>
          </w:tcPr>
          <w:p w14:paraId="1A62CDC4" w14:textId="77777777" w:rsidR="00517290" w:rsidRPr="00B06056" w:rsidRDefault="00517290" w:rsidP="00517290">
            <w:pPr>
              <w:jc w:val="center"/>
              <w:rPr>
                <w:b/>
                <w:sz w:val="40"/>
                <w:szCs w:val="40"/>
              </w:rPr>
            </w:pPr>
          </w:p>
        </w:tc>
        <w:tc>
          <w:tcPr>
            <w:tcW w:w="1327" w:type="dxa"/>
          </w:tcPr>
          <w:p w14:paraId="5B7C89CE" w14:textId="77777777" w:rsidR="00517290" w:rsidRPr="00B06056" w:rsidRDefault="00517290" w:rsidP="00517290">
            <w:pPr>
              <w:jc w:val="center"/>
              <w:rPr>
                <w:b/>
                <w:sz w:val="40"/>
                <w:szCs w:val="40"/>
              </w:rPr>
            </w:pPr>
          </w:p>
        </w:tc>
        <w:tc>
          <w:tcPr>
            <w:tcW w:w="8814" w:type="dxa"/>
          </w:tcPr>
          <w:p w14:paraId="53BF929E" w14:textId="77777777" w:rsidR="004D7365" w:rsidRDefault="002C216A" w:rsidP="004D7365">
            <w:r>
              <w:t>Live</w:t>
            </w:r>
            <w:r w:rsidR="00BF767D">
              <w:t xml:space="preserve"> lectures will be delivered through Carmen Connect.</w:t>
            </w:r>
            <w:r>
              <w:t xml:space="preserve"> </w:t>
            </w:r>
            <w:r w:rsidR="00BF767D">
              <w:t>Course materials</w:t>
            </w:r>
            <w:r w:rsidR="00517290">
              <w:t xml:space="preserve"> can be accessed both synchronously and asynchronously</w:t>
            </w:r>
            <w:r w:rsidR="00BF767D">
              <w:t xml:space="preserve"> through Carmen</w:t>
            </w:r>
            <w:r w:rsidR="00517290">
              <w:t>.</w:t>
            </w:r>
            <w:r w:rsidR="00BF767D">
              <w:t xml:space="preserve"> </w:t>
            </w:r>
          </w:p>
        </w:tc>
      </w:tr>
      <w:tr w:rsidR="00517290" w14:paraId="530BA25C" w14:textId="77777777" w:rsidTr="00517290">
        <w:tc>
          <w:tcPr>
            <w:tcW w:w="4698" w:type="dxa"/>
          </w:tcPr>
          <w:p w14:paraId="01EBFF16" w14:textId="77777777" w:rsidR="00517290" w:rsidRDefault="00517290" w:rsidP="00517290">
            <w:pPr>
              <w:pStyle w:val="ListParagraph"/>
              <w:numPr>
                <w:ilvl w:val="0"/>
                <w:numId w:val="2"/>
              </w:numPr>
              <w:rPr>
                <w:sz w:val="20"/>
                <w:szCs w:val="20"/>
              </w:rPr>
            </w:pPr>
            <w:r>
              <w:rPr>
                <w:sz w:val="20"/>
                <w:szCs w:val="20"/>
              </w:rPr>
              <w:t>C</w:t>
            </w:r>
            <w:r w:rsidRPr="00162F0E">
              <w:rPr>
                <w:sz w:val="20"/>
                <w:szCs w:val="20"/>
              </w:rPr>
              <w:t>ourse tools and media support student engagement and guide the student to become an active learner.</w:t>
            </w:r>
          </w:p>
          <w:p w14:paraId="55A59DAC" w14:textId="77777777" w:rsidR="00517290" w:rsidRPr="00162F0E" w:rsidRDefault="00517290" w:rsidP="00517290">
            <w:pPr>
              <w:pStyle w:val="ListParagraph"/>
              <w:rPr>
                <w:sz w:val="20"/>
                <w:szCs w:val="20"/>
              </w:rPr>
            </w:pPr>
          </w:p>
        </w:tc>
        <w:tc>
          <w:tcPr>
            <w:tcW w:w="1109" w:type="dxa"/>
          </w:tcPr>
          <w:p w14:paraId="4D9EAF8B" w14:textId="0129C1FC" w:rsidR="00517290" w:rsidRPr="00B06056" w:rsidRDefault="00E44421" w:rsidP="00517290">
            <w:pPr>
              <w:jc w:val="center"/>
              <w:rPr>
                <w:b/>
                <w:sz w:val="40"/>
                <w:szCs w:val="40"/>
              </w:rPr>
            </w:pPr>
            <w:r w:rsidRPr="006D22EB">
              <w:rPr>
                <w:rFonts w:ascii="Zapf Dingbats" w:hAnsi="Zapf Dingbats"/>
                <w:color w:val="000000"/>
              </w:rPr>
              <w:t>✔</w:t>
            </w:r>
          </w:p>
        </w:tc>
        <w:tc>
          <w:tcPr>
            <w:tcW w:w="1260" w:type="dxa"/>
          </w:tcPr>
          <w:p w14:paraId="5BC15317" w14:textId="77777777" w:rsidR="00517290" w:rsidRPr="00B06056" w:rsidRDefault="00517290" w:rsidP="00517290">
            <w:pPr>
              <w:jc w:val="center"/>
              <w:rPr>
                <w:b/>
                <w:sz w:val="40"/>
                <w:szCs w:val="40"/>
              </w:rPr>
            </w:pPr>
          </w:p>
        </w:tc>
        <w:tc>
          <w:tcPr>
            <w:tcW w:w="1327" w:type="dxa"/>
          </w:tcPr>
          <w:p w14:paraId="229D9344" w14:textId="77777777" w:rsidR="00517290" w:rsidRPr="00B06056" w:rsidRDefault="00517290" w:rsidP="00517290">
            <w:pPr>
              <w:jc w:val="center"/>
              <w:rPr>
                <w:b/>
                <w:sz w:val="40"/>
                <w:szCs w:val="40"/>
              </w:rPr>
            </w:pPr>
          </w:p>
        </w:tc>
        <w:tc>
          <w:tcPr>
            <w:tcW w:w="8814" w:type="dxa"/>
          </w:tcPr>
          <w:p w14:paraId="12275F7D" w14:textId="77777777" w:rsidR="004D7365" w:rsidRDefault="002C216A" w:rsidP="002C216A">
            <w:r>
              <w:t>Carmen quizzes will be used to help reinforce concepts for subsequ</w:t>
            </w:r>
            <w:r w:rsidR="004D7365">
              <w:t xml:space="preserve">ent homework assignments.  </w:t>
            </w:r>
            <w:r>
              <w:t xml:space="preserve">Carmen discussion board posts will be required </w:t>
            </w:r>
            <w:r w:rsidR="004D7365">
              <w:t>for some activities.  Lectures will include class discussions, breakout discussions with small groups, and quick response polls.  Recordings of the lectures will be posted for students to review within Carmen.  Weekly pre-scheduled synchronous office hours will be held through Carmen Connect.  Instructor is also available by email.</w:t>
            </w:r>
            <w:r>
              <w:t xml:space="preserve">   </w:t>
            </w:r>
          </w:p>
          <w:p w14:paraId="0B86F257" w14:textId="77777777" w:rsidR="004D7365" w:rsidRDefault="004D7365" w:rsidP="002C216A"/>
        </w:tc>
      </w:tr>
      <w:tr w:rsidR="00517290" w14:paraId="1359E638" w14:textId="77777777" w:rsidTr="00517290">
        <w:tc>
          <w:tcPr>
            <w:tcW w:w="4698" w:type="dxa"/>
          </w:tcPr>
          <w:p w14:paraId="00608A74" w14:textId="77777777" w:rsidR="00517290" w:rsidRPr="00162F0E" w:rsidRDefault="00517290" w:rsidP="00517290">
            <w:pPr>
              <w:pStyle w:val="ListParagraph"/>
              <w:numPr>
                <w:ilvl w:val="0"/>
                <w:numId w:val="2"/>
              </w:numPr>
              <w:rPr>
                <w:sz w:val="20"/>
                <w:szCs w:val="20"/>
              </w:rPr>
            </w:pPr>
            <w:r w:rsidRPr="00162F0E">
              <w:rPr>
                <w:sz w:val="20"/>
                <w:szCs w:val="20"/>
              </w:rPr>
              <w:t>Navigation throughout the online components of the course is logical, consistent, and efficient.</w:t>
            </w:r>
          </w:p>
          <w:p w14:paraId="12AC2E41" w14:textId="77777777" w:rsidR="00517290" w:rsidRDefault="00517290" w:rsidP="00517290"/>
        </w:tc>
        <w:tc>
          <w:tcPr>
            <w:tcW w:w="1109" w:type="dxa"/>
          </w:tcPr>
          <w:p w14:paraId="72772A3C" w14:textId="7CC8BF31" w:rsidR="00517290" w:rsidRPr="00B06056" w:rsidRDefault="00E44421" w:rsidP="00517290">
            <w:pPr>
              <w:jc w:val="center"/>
              <w:rPr>
                <w:b/>
                <w:sz w:val="40"/>
                <w:szCs w:val="40"/>
              </w:rPr>
            </w:pPr>
            <w:r w:rsidRPr="00033885">
              <w:rPr>
                <w:rFonts w:ascii="Zapf Dingbats" w:hAnsi="Zapf Dingbats"/>
                <w:color w:val="000000"/>
              </w:rPr>
              <w:t>✔</w:t>
            </w:r>
          </w:p>
        </w:tc>
        <w:tc>
          <w:tcPr>
            <w:tcW w:w="1260" w:type="dxa"/>
          </w:tcPr>
          <w:p w14:paraId="609C37F6" w14:textId="77777777" w:rsidR="00517290" w:rsidRPr="00B06056" w:rsidRDefault="00517290" w:rsidP="00517290">
            <w:pPr>
              <w:jc w:val="center"/>
              <w:rPr>
                <w:b/>
                <w:sz w:val="40"/>
                <w:szCs w:val="40"/>
              </w:rPr>
            </w:pPr>
          </w:p>
        </w:tc>
        <w:tc>
          <w:tcPr>
            <w:tcW w:w="1327" w:type="dxa"/>
          </w:tcPr>
          <w:p w14:paraId="641BC7A2" w14:textId="77777777" w:rsidR="00517290" w:rsidRPr="00B06056" w:rsidRDefault="00517290" w:rsidP="00517290">
            <w:pPr>
              <w:jc w:val="center"/>
              <w:rPr>
                <w:b/>
                <w:sz w:val="40"/>
                <w:szCs w:val="40"/>
              </w:rPr>
            </w:pPr>
          </w:p>
        </w:tc>
        <w:tc>
          <w:tcPr>
            <w:tcW w:w="8814" w:type="dxa"/>
          </w:tcPr>
          <w:p w14:paraId="18C687F1" w14:textId="77777777" w:rsidR="00517290" w:rsidRDefault="004D7365" w:rsidP="00804BA7">
            <w:r>
              <w:t xml:space="preserve">Course materials will be organized within Carmen to match the syllabus.   </w:t>
            </w:r>
            <w:r w:rsidR="00804BA7">
              <w:t xml:space="preserve">It is recommended that the breakdown of activities reflected on the physical syllabus be mirrored in Carmen to ensure consistent navigation though the course. </w:t>
            </w:r>
            <w:r>
              <w:t xml:space="preserve"> </w:t>
            </w:r>
          </w:p>
        </w:tc>
      </w:tr>
      <w:tr w:rsidR="00517290" w14:paraId="7C6923FA" w14:textId="77777777" w:rsidTr="00517290">
        <w:tc>
          <w:tcPr>
            <w:tcW w:w="4698" w:type="dxa"/>
          </w:tcPr>
          <w:p w14:paraId="7AE1B8A0" w14:textId="77777777" w:rsidR="00517290" w:rsidRPr="00162F0E" w:rsidRDefault="00517290" w:rsidP="00517290">
            <w:pPr>
              <w:pStyle w:val="ListParagraph"/>
              <w:numPr>
                <w:ilvl w:val="0"/>
                <w:numId w:val="2"/>
              </w:numPr>
              <w:rPr>
                <w:sz w:val="20"/>
                <w:szCs w:val="20"/>
              </w:rPr>
            </w:pPr>
            <w:r w:rsidRPr="00162F0E">
              <w:rPr>
                <w:sz w:val="20"/>
                <w:szCs w:val="20"/>
              </w:rPr>
              <w:t>Students can readily access the technologies required in the course.</w:t>
            </w:r>
          </w:p>
          <w:p w14:paraId="4074BA80" w14:textId="77777777" w:rsidR="00517290" w:rsidRDefault="00517290" w:rsidP="00517290"/>
        </w:tc>
        <w:tc>
          <w:tcPr>
            <w:tcW w:w="1109" w:type="dxa"/>
          </w:tcPr>
          <w:p w14:paraId="59239B63" w14:textId="22A4F8B6" w:rsidR="00517290" w:rsidRPr="00B06056" w:rsidRDefault="00E44421" w:rsidP="00517290">
            <w:pPr>
              <w:jc w:val="center"/>
              <w:rPr>
                <w:b/>
                <w:sz w:val="40"/>
                <w:szCs w:val="40"/>
              </w:rPr>
            </w:pPr>
            <w:r w:rsidRPr="005B2305">
              <w:rPr>
                <w:rFonts w:ascii="Zapf Dingbats" w:hAnsi="Zapf Dingbats"/>
                <w:color w:val="000000"/>
              </w:rPr>
              <w:t>✔</w:t>
            </w:r>
          </w:p>
        </w:tc>
        <w:tc>
          <w:tcPr>
            <w:tcW w:w="1260" w:type="dxa"/>
          </w:tcPr>
          <w:p w14:paraId="460D0B77" w14:textId="77777777" w:rsidR="00517290" w:rsidRPr="00B06056" w:rsidRDefault="00517290" w:rsidP="00517290">
            <w:pPr>
              <w:jc w:val="center"/>
              <w:rPr>
                <w:b/>
                <w:sz w:val="40"/>
                <w:szCs w:val="40"/>
              </w:rPr>
            </w:pPr>
          </w:p>
        </w:tc>
        <w:tc>
          <w:tcPr>
            <w:tcW w:w="1327" w:type="dxa"/>
          </w:tcPr>
          <w:p w14:paraId="7D7DC0A6" w14:textId="77777777" w:rsidR="00517290" w:rsidRPr="00B06056" w:rsidRDefault="00517290" w:rsidP="00517290">
            <w:pPr>
              <w:jc w:val="center"/>
              <w:rPr>
                <w:b/>
                <w:sz w:val="40"/>
                <w:szCs w:val="40"/>
              </w:rPr>
            </w:pPr>
          </w:p>
        </w:tc>
        <w:tc>
          <w:tcPr>
            <w:tcW w:w="8814" w:type="dxa"/>
          </w:tcPr>
          <w:p w14:paraId="5C549A23" w14:textId="77777777" w:rsidR="00AE4F42" w:rsidRDefault="008C0B80" w:rsidP="00517290">
            <w:r>
              <w:t xml:space="preserve">Both Carmen and Carmen Connect will be used to teach this course.  Students are not required to have any user accounts outside of their OSU account. </w:t>
            </w:r>
            <w:r w:rsidR="00B11778">
              <w:t xml:space="preserve"> As outlined on the syllabus, a webcam and microphone are also required technology for this course.</w:t>
            </w:r>
            <w:r w:rsidR="00AE4F42">
              <w:t xml:space="preserve">  </w:t>
            </w:r>
          </w:p>
          <w:p w14:paraId="34AA180B" w14:textId="77777777" w:rsidR="00AE4F42" w:rsidRDefault="00AE4F42" w:rsidP="00517290"/>
        </w:tc>
      </w:tr>
      <w:tr w:rsidR="00517290" w14:paraId="4CF90E3E" w14:textId="77777777" w:rsidTr="00517290">
        <w:trPr>
          <w:trHeight w:val="230"/>
        </w:trPr>
        <w:tc>
          <w:tcPr>
            <w:tcW w:w="4698" w:type="dxa"/>
          </w:tcPr>
          <w:p w14:paraId="689620AF" w14:textId="77777777" w:rsidR="00517290" w:rsidRPr="00162F0E" w:rsidRDefault="00517290" w:rsidP="00517290">
            <w:pPr>
              <w:pStyle w:val="ListParagraph"/>
              <w:numPr>
                <w:ilvl w:val="0"/>
                <w:numId w:val="2"/>
              </w:numPr>
              <w:rPr>
                <w:sz w:val="20"/>
                <w:szCs w:val="20"/>
              </w:rPr>
            </w:pPr>
            <w:r w:rsidRPr="00162F0E">
              <w:rPr>
                <w:sz w:val="20"/>
                <w:szCs w:val="20"/>
              </w:rPr>
              <w:lastRenderedPageBreak/>
              <w:t>The course technologies are current.</w:t>
            </w:r>
          </w:p>
          <w:p w14:paraId="6270C4F2" w14:textId="77777777" w:rsidR="00517290" w:rsidRDefault="00517290" w:rsidP="00517290"/>
        </w:tc>
        <w:tc>
          <w:tcPr>
            <w:tcW w:w="1109" w:type="dxa"/>
          </w:tcPr>
          <w:p w14:paraId="1B405CEC" w14:textId="04A4A7F2" w:rsidR="00517290" w:rsidRPr="00B06056" w:rsidRDefault="00E44421" w:rsidP="00517290">
            <w:pPr>
              <w:jc w:val="center"/>
              <w:rPr>
                <w:b/>
                <w:sz w:val="40"/>
                <w:szCs w:val="40"/>
              </w:rPr>
            </w:pPr>
            <w:r w:rsidRPr="00E56F95">
              <w:rPr>
                <w:rFonts w:ascii="Zapf Dingbats" w:hAnsi="Zapf Dingbats"/>
                <w:color w:val="000000"/>
              </w:rPr>
              <w:t>✔</w:t>
            </w:r>
          </w:p>
        </w:tc>
        <w:tc>
          <w:tcPr>
            <w:tcW w:w="1260" w:type="dxa"/>
          </w:tcPr>
          <w:p w14:paraId="0F397785" w14:textId="77777777" w:rsidR="00517290" w:rsidRPr="00B06056" w:rsidRDefault="00517290" w:rsidP="00517290">
            <w:pPr>
              <w:jc w:val="center"/>
              <w:rPr>
                <w:b/>
                <w:sz w:val="40"/>
                <w:szCs w:val="40"/>
              </w:rPr>
            </w:pPr>
          </w:p>
        </w:tc>
        <w:tc>
          <w:tcPr>
            <w:tcW w:w="1327" w:type="dxa"/>
          </w:tcPr>
          <w:p w14:paraId="2AAADC1F" w14:textId="77777777" w:rsidR="00517290" w:rsidRPr="00B06056" w:rsidRDefault="00517290" w:rsidP="00517290">
            <w:pPr>
              <w:jc w:val="center"/>
              <w:rPr>
                <w:b/>
                <w:sz w:val="40"/>
                <w:szCs w:val="40"/>
              </w:rPr>
            </w:pPr>
          </w:p>
        </w:tc>
        <w:tc>
          <w:tcPr>
            <w:tcW w:w="8814" w:type="dxa"/>
          </w:tcPr>
          <w:p w14:paraId="77CB4A94" w14:textId="77777777" w:rsidR="00517290" w:rsidRDefault="00B11778" w:rsidP="00517290">
            <w:r>
              <w:t>Yes, Carmen and Carmen Connect are both current OSU technologies.</w:t>
            </w:r>
          </w:p>
        </w:tc>
      </w:tr>
      <w:tr w:rsidR="00517290" w14:paraId="7F2FCBB8" w14:textId="77777777" w:rsidTr="00517290">
        <w:trPr>
          <w:trHeight w:val="230"/>
        </w:trPr>
        <w:tc>
          <w:tcPr>
            <w:tcW w:w="4698" w:type="dxa"/>
          </w:tcPr>
          <w:p w14:paraId="09A451BE" w14:textId="77777777" w:rsidR="00517290" w:rsidRPr="00162F0E" w:rsidRDefault="00517290" w:rsidP="00517290">
            <w:pPr>
              <w:pStyle w:val="ListParagraph"/>
              <w:numPr>
                <w:ilvl w:val="0"/>
                <w:numId w:val="2"/>
              </w:numPr>
              <w:rPr>
                <w:rFonts w:cs="Calibri"/>
                <w:sz w:val="20"/>
                <w:szCs w:val="20"/>
              </w:rPr>
            </w:pPr>
            <w:r w:rsidRPr="00162F0E">
              <w:rPr>
                <w:rFonts w:cs="Calibri"/>
                <w:sz w:val="20"/>
                <w:szCs w:val="20"/>
              </w:rPr>
              <w:t>Funding and support for the course technologies are sustainable for future sections of the course.</w:t>
            </w:r>
          </w:p>
          <w:p w14:paraId="7FE0AB1B" w14:textId="77777777" w:rsidR="00517290" w:rsidRPr="00FB0A37" w:rsidRDefault="00517290" w:rsidP="00517290">
            <w:pPr>
              <w:rPr>
                <w:sz w:val="20"/>
                <w:szCs w:val="20"/>
              </w:rPr>
            </w:pPr>
          </w:p>
        </w:tc>
        <w:tc>
          <w:tcPr>
            <w:tcW w:w="1109" w:type="dxa"/>
          </w:tcPr>
          <w:p w14:paraId="691116C7" w14:textId="478BC519" w:rsidR="00517290" w:rsidRPr="00B06056" w:rsidRDefault="00E44421" w:rsidP="00517290">
            <w:pPr>
              <w:jc w:val="center"/>
              <w:rPr>
                <w:b/>
                <w:sz w:val="40"/>
                <w:szCs w:val="40"/>
              </w:rPr>
            </w:pPr>
            <w:r w:rsidRPr="00CB0E94">
              <w:rPr>
                <w:rFonts w:ascii="Zapf Dingbats" w:hAnsi="Zapf Dingbats"/>
                <w:color w:val="000000"/>
              </w:rPr>
              <w:t>✔</w:t>
            </w:r>
          </w:p>
        </w:tc>
        <w:tc>
          <w:tcPr>
            <w:tcW w:w="1260" w:type="dxa"/>
          </w:tcPr>
          <w:p w14:paraId="4FA3C6C1" w14:textId="77777777" w:rsidR="00517290" w:rsidRPr="00B06056" w:rsidRDefault="00517290" w:rsidP="00517290">
            <w:pPr>
              <w:jc w:val="center"/>
              <w:rPr>
                <w:b/>
                <w:sz w:val="40"/>
                <w:szCs w:val="40"/>
              </w:rPr>
            </w:pPr>
          </w:p>
        </w:tc>
        <w:tc>
          <w:tcPr>
            <w:tcW w:w="1327" w:type="dxa"/>
          </w:tcPr>
          <w:p w14:paraId="590CBA9F" w14:textId="77777777" w:rsidR="00517290" w:rsidRPr="00B06056" w:rsidRDefault="00517290" w:rsidP="00517290">
            <w:pPr>
              <w:jc w:val="center"/>
              <w:rPr>
                <w:b/>
                <w:sz w:val="40"/>
                <w:szCs w:val="40"/>
              </w:rPr>
            </w:pPr>
          </w:p>
        </w:tc>
        <w:tc>
          <w:tcPr>
            <w:tcW w:w="8814" w:type="dxa"/>
          </w:tcPr>
          <w:p w14:paraId="58603DCD" w14:textId="77777777" w:rsidR="00517290" w:rsidRDefault="00B11778" w:rsidP="00517290">
            <w:r>
              <w:t>Upon request, captioning could be required for the video recor</w:t>
            </w:r>
            <w:r w:rsidR="00AE4F42">
              <w:t xml:space="preserve">dings posted for this course.  </w:t>
            </w:r>
            <w:r w:rsidR="00AE4F42">
              <w:t xml:space="preserve">OSU’s office of Disability Services charges $50/hr. for captioning.  It is not clear at this time </w:t>
            </w:r>
            <w:r w:rsidR="00AE4F42">
              <w:t>if this is required or how this would</w:t>
            </w:r>
            <w:r w:rsidR="00AE4F42">
              <w:t xml:space="preserve"> be funded?  </w:t>
            </w:r>
          </w:p>
        </w:tc>
      </w:tr>
      <w:tr w:rsidR="00517290" w14:paraId="7A776C08" w14:textId="77777777" w:rsidTr="00517290">
        <w:tc>
          <w:tcPr>
            <w:tcW w:w="4698" w:type="dxa"/>
          </w:tcPr>
          <w:p w14:paraId="67A74169" w14:textId="77777777" w:rsidR="00517290" w:rsidRDefault="00517290" w:rsidP="00517290">
            <w:pPr>
              <w:pStyle w:val="ListParagraph"/>
              <w:numPr>
                <w:ilvl w:val="0"/>
                <w:numId w:val="2"/>
              </w:numPr>
              <w:rPr>
                <w:sz w:val="20"/>
                <w:szCs w:val="20"/>
              </w:rPr>
            </w:pPr>
            <w:r>
              <w:rPr>
                <w:sz w:val="20"/>
                <w:szCs w:val="20"/>
              </w:rPr>
              <w:t>The course technologies, tools and media will be evaluated and updated as underlying technologies, platforms and approaches change.</w:t>
            </w:r>
          </w:p>
          <w:p w14:paraId="168544D2" w14:textId="77777777" w:rsidR="00517290" w:rsidRPr="00162F0E" w:rsidRDefault="00517290" w:rsidP="00517290">
            <w:pPr>
              <w:pStyle w:val="ListParagraph"/>
              <w:rPr>
                <w:sz w:val="20"/>
                <w:szCs w:val="20"/>
              </w:rPr>
            </w:pPr>
          </w:p>
        </w:tc>
        <w:tc>
          <w:tcPr>
            <w:tcW w:w="1109" w:type="dxa"/>
          </w:tcPr>
          <w:p w14:paraId="11ADE071" w14:textId="6C9BF285" w:rsidR="00517290" w:rsidRPr="00B06056" w:rsidRDefault="00E44421" w:rsidP="00517290">
            <w:pPr>
              <w:jc w:val="center"/>
              <w:rPr>
                <w:b/>
                <w:sz w:val="40"/>
                <w:szCs w:val="40"/>
              </w:rPr>
            </w:pPr>
            <w:r w:rsidRPr="00143FD8">
              <w:rPr>
                <w:rFonts w:ascii="Zapf Dingbats" w:hAnsi="Zapf Dingbats"/>
                <w:color w:val="000000"/>
              </w:rPr>
              <w:t>✔</w:t>
            </w:r>
          </w:p>
        </w:tc>
        <w:tc>
          <w:tcPr>
            <w:tcW w:w="1260" w:type="dxa"/>
          </w:tcPr>
          <w:p w14:paraId="568812B6" w14:textId="77777777" w:rsidR="00517290" w:rsidRPr="00B06056" w:rsidRDefault="00517290" w:rsidP="00517290">
            <w:pPr>
              <w:jc w:val="center"/>
              <w:rPr>
                <w:b/>
                <w:sz w:val="40"/>
                <w:szCs w:val="40"/>
              </w:rPr>
            </w:pPr>
          </w:p>
        </w:tc>
        <w:tc>
          <w:tcPr>
            <w:tcW w:w="1327" w:type="dxa"/>
          </w:tcPr>
          <w:p w14:paraId="3D42AAC8" w14:textId="77777777" w:rsidR="00517290" w:rsidRPr="00B06056" w:rsidRDefault="00517290" w:rsidP="00517290">
            <w:pPr>
              <w:jc w:val="center"/>
              <w:rPr>
                <w:b/>
                <w:sz w:val="40"/>
                <w:szCs w:val="40"/>
              </w:rPr>
            </w:pPr>
          </w:p>
        </w:tc>
        <w:tc>
          <w:tcPr>
            <w:tcW w:w="8814" w:type="dxa"/>
          </w:tcPr>
          <w:p w14:paraId="419E8C41" w14:textId="0097833E" w:rsidR="00144B26" w:rsidRDefault="00144B26" w:rsidP="00517290">
            <w:r>
              <w:t>Carmen will be used to teach this course.  Recommend that the students for the course be surveyed on the technology used in the course and that the technology be modified based on student feedback each time the course is taught.  What did and did not work for the students.</w:t>
            </w:r>
          </w:p>
        </w:tc>
      </w:tr>
      <w:tr w:rsidR="00517290" w14:paraId="584C75D8" w14:textId="77777777" w:rsidTr="00517290">
        <w:tc>
          <w:tcPr>
            <w:tcW w:w="4698" w:type="dxa"/>
          </w:tcPr>
          <w:p w14:paraId="5278679D" w14:textId="77777777" w:rsidR="00517290" w:rsidRPr="00162F0E" w:rsidRDefault="00517290" w:rsidP="00517290">
            <w:pPr>
              <w:pStyle w:val="ListParagraph"/>
              <w:numPr>
                <w:ilvl w:val="0"/>
                <w:numId w:val="2"/>
              </w:numPr>
              <w:rPr>
                <w:sz w:val="20"/>
                <w:szCs w:val="20"/>
              </w:rPr>
            </w:pPr>
            <w:r w:rsidRPr="00162F0E">
              <w:rPr>
                <w:sz w:val="20"/>
                <w:szCs w:val="20"/>
              </w:rPr>
              <w:t>The course instructions articulate or link to a clear description of the technical support offered and how to access it.</w:t>
            </w:r>
          </w:p>
          <w:p w14:paraId="702BE3D9" w14:textId="77777777" w:rsidR="00517290" w:rsidRDefault="00517290" w:rsidP="00517290"/>
        </w:tc>
        <w:tc>
          <w:tcPr>
            <w:tcW w:w="1109" w:type="dxa"/>
          </w:tcPr>
          <w:p w14:paraId="5ED0F8A9" w14:textId="1F9C56AC" w:rsidR="00517290" w:rsidRPr="00B06056" w:rsidRDefault="00E44421" w:rsidP="00517290">
            <w:pPr>
              <w:jc w:val="center"/>
              <w:rPr>
                <w:b/>
                <w:sz w:val="40"/>
                <w:szCs w:val="40"/>
              </w:rPr>
            </w:pPr>
            <w:r w:rsidRPr="00B34AF6">
              <w:rPr>
                <w:rFonts w:ascii="Zapf Dingbats" w:hAnsi="Zapf Dingbats"/>
                <w:color w:val="000000"/>
              </w:rPr>
              <w:t>✔</w:t>
            </w:r>
          </w:p>
        </w:tc>
        <w:tc>
          <w:tcPr>
            <w:tcW w:w="1260" w:type="dxa"/>
          </w:tcPr>
          <w:p w14:paraId="11E05CEA" w14:textId="77777777" w:rsidR="00517290" w:rsidRPr="00B06056" w:rsidRDefault="00517290" w:rsidP="00517290">
            <w:pPr>
              <w:jc w:val="center"/>
              <w:rPr>
                <w:b/>
                <w:sz w:val="40"/>
                <w:szCs w:val="40"/>
              </w:rPr>
            </w:pPr>
          </w:p>
        </w:tc>
        <w:tc>
          <w:tcPr>
            <w:tcW w:w="1327" w:type="dxa"/>
          </w:tcPr>
          <w:p w14:paraId="6759379A" w14:textId="77777777" w:rsidR="00517290" w:rsidRPr="00B06056" w:rsidRDefault="00517290" w:rsidP="00517290">
            <w:pPr>
              <w:jc w:val="center"/>
              <w:rPr>
                <w:b/>
                <w:sz w:val="40"/>
                <w:szCs w:val="40"/>
              </w:rPr>
            </w:pPr>
          </w:p>
        </w:tc>
        <w:tc>
          <w:tcPr>
            <w:tcW w:w="8814" w:type="dxa"/>
          </w:tcPr>
          <w:p w14:paraId="40CD492F" w14:textId="77777777" w:rsidR="00144B26" w:rsidRPr="00042307" w:rsidRDefault="00144B26" w:rsidP="00144B26">
            <w:r w:rsidRPr="00042307">
              <w:t xml:space="preserve">The faculty member should add an overview and instructions for students to access Carmen </w:t>
            </w:r>
            <w:r>
              <w:t xml:space="preserve">and Carmen Connect </w:t>
            </w:r>
            <w:r w:rsidRPr="00042307">
              <w:t xml:space="preserve">technical support. (8-Help)  </w:t>
            </w:r>
          </w:p>
          <w:p w14:paraId="1E7D6678" w14:textId="77777777" w:rsidR="00144B26" w:rsidRPr="00042307" w:rsidRDefault="00144B26" w:rsidP="00144B26"/>
          <w:p w14:paraId="4BD0CDA1" w14:textId="77777777" w:rsidR="00144B26" w:rsidRPr="00042307" w:rsidRDefault="00144B26" w:rsidP="00144B26">
            <w:hyperlink r:id="rId6" w:history="1">
              <w:r w:rsidRPr="00042307">
                <w:rPr>
                  <w:color w:val="0000FF" w:themeColor="hyperlink"/>
                  <w:u w:val="single"/>
                </w:rPr>
                <w:t>https://carmen-services.it.ohio-state.edu/carmen-help/students/</w:t>
              </w:r>
            </w:hyperlink>
          </w:p>
          <w:p w14:paraId="64B6EA6E" w14:textId="77777777" w:rsidR="00517290" w:rsidRDefault="00517290" w:rsidP="00517290"/>
        </w:tc>
      </w:tr>
      <w:tr w:rsidR="00517290" w14:paraId="76598262" w14:textId="77777777" w:rsidTr="00517290">
        <w:tc>
          <w:tcPr>
            <w:tcW w:w="4698" w:type="dxa"/>
          </w:tcPr>
          <w:p w14:paraId="0851D14A" w14:textId="77777777" w:rsidR="00517290" w:rsidRPr="00162F0E" w:rsidRDefault="00517290" w:rsidP="00517290">
            <w:pPr>
              <w:pStyle w:val="ListParagraph"/>
              <w:numPr>
                <w:ilvl w:val="0"/>
                <w:numId w:val="2"/>
              </w:numPr>
              <w:rPr>
                <w:sz w:val="20"/>
                <w:szCs w:val="20"/>
              </w:rPr>
            </w:pPr>
            <w:r w:rsidRPr="00162F0E">
              <w:rPr>
                <w:sz w:val="20"/>
                <w:szCs w:val="20"/>
              </w:rPr>
              <w:t>Course instructions articulate or link to the institution’s accessibility policies and services.</w:t>
            </w:r>
          </w:p>
          <w:p w14:paraId="45D6B3FD" w14:textId="77777777" w:rsidR="00517290" w:rsidRPr="00E469B3" w:rsidRDefault="00517290" w:rsidP="00517290">
            <w:pPr>
              <w:rPr>
                <w:sz w:val="20"/>
                <w:szCs w:val="20"/>
              </w:rPr>
            </w:pPr>
          </w:p>
        </w:tc>
        <w:tc>
          <w:tcPr>
            <w:tcW w:w="1109" w:type="dxa"/>
          </w:tcPr>
          <w:p w14:paraId="58C3BBEA" w14:textId="37BBA266" w:rsidR="00517290" w:rsidRPr="00B06056" w:rsidRDefault="00E44421" w:rsidP="00517290">
            <w:pPr>
              <w:jc w:val="center"/>
              <w:rPr>
                <w:b/>
                <w:sz w:val="40"/>
                <w:szCs w:val="40"/>
              </w:rPr>
            </w:pPr>
            <w:r w:rsidRPr="00B518E5">
              <w:rPr>
                <w:rFonts w:ascii="Zapf Dingbats" w:hAnsi="Zapf Dingbats"/>
                <w:color w:val="000000"/>
              </w:rPr>
              <w:t>✔</w:t>
            </w:r>
          </w:p>
        </w:tc>
        <w:tc>
          <w:tcPr>
            <w:tcW w:w="1260" w:type="dxa"/>
          </w:tcPr>
          <w:p w14:paraId="680CD307" w14:textId="77777777" w:rsidR="00517290" w:rsidRPr="00B06056" w:rsidRDefault="00517290" w:rsidP="00517290">
            <w:pPr>
              <w:jc w:val="center"/>
              <w:rPr>
                <w:b/>
                <w:sz w:val="40"/>
                <w:szCs w:val="40"/>
              </w:rPr>
            </w:pPr>
          </w:p>
        </w:tc>
        <w:tc>
          <w:tcPr>
            <w:tcW w:w="1327" w:type="dxa"/>
          </w:tcPr>
          <w:p w14:paraId="4F089746" w14:textId="77777777" w:rsidR="00517290" w:rsidRPr="00B06056" w:rsidRDefault="00517290" w:rsidP="00517290">
            <w:pPr>
              <w:jc w:val="center"/>
              <w:rPr>
                <w:b/>
                <w:sz w:val="40"/>
                <w:szCs w:val="40"/>
              </w:rPr>
            </w:pPr>
          </w:p>
        </w:tc>
        <w:tc>
          <w:tcPr>
            <w:tcW w:w="8814" w:type="dxa"/>
          </w:tcPr>
          <w:p w14:paraId="15EAD4F2" w14:textId="77777777" w:rsidR="00144B26" w:rsidRPr="00042307" w:rsidRDefault="00144B26" w:rsidP="00144B26">
            <w:r w:rsidRPr="00042307">
              <w:t xml:space="preserve">The faculty member should include a link to OSU accessibility page on the syllabus. </w:t>
            </w:r>
          </w:p>
          <w:p w14:paraId="6CF7F8FD" w14:textId="77777777" w:rsidR="00144B26" w:rsidRPr="00042307" w:rsidRDefault="00144B26" w:rsidP="00144B26"/>
          <w:p w14:paraId="00180125" w14:textId="77777777" w:rsidR="00144B26" w:rsidRPr="00042307" w:rsidRDefault="00144B26" w:rsidP="00144B26">
            <w:hyperlink r:id="rId7" w:history="1">
              <w:r w:rsidRPr="00042307">
                <w:rPr>
                  <w:color w:val="0000FF" w:themeColor="hyperlink"/>
                  <w:u w:val="single"/>
                </w:rPr>
                <w:t>http://ada.osu.edu/resources/Links.htm</w:t>
              </w:r>
            </w:hyperlink>
          </w:p>
          <w:p w14:paraId="17A02935" w14:textId="77777777" w:rsidR="00517290" w:rsidRDefault="00517290" w:rsidP="00517290"/>
        </w:tc>
      </w:tr>
      <w:tr w:rsidR="00517290" w14:paraId="4548FC48" w14:textId="77777777" w:rsidTr="00517290">
        <w:tc>
          <w:tcPr>
            <w:tcW w:w="4698" w:type="dxa"/>
          </w:tcPr>
          <w:p w14:paraId="62EBE947" w14:textId="77777777" w:rsidR="00517290" w:rsidRPr="00162F0E" w:rsidRDefault="00517290" w:rsidP="00517290">
            <w:pPr>
              <w:pStyle w:val="ListParagraph"/>
              <w:numPr>
                <w:ilvl w:val="0"/>
                <w:numId w:val="2"/>
              </w:numPr>
              <w:rPr>
                <w:sz w:val="20"/>
                <w:szCs w:val="20"/>
              </w:rPr>
            </w:pPr>
            <w:r w:rsidRPr="00162F0E">
              <w:rPr>
                <w:sz w:val="20"/>
                <w:szCs w:val="20"/>
              </w:rPr>
              <w:t>Course instructions articulate or link to an explanation of how the institution’s academic support services and resources can help students succeed in the course and how students can access the services.</w:t>
            </w:r>
          </w:p>
          <w:p w14:paraId="0F61366B" w14:textId="77777777" w:rsidR="00517290" w:rsidRDefault="00517290" w:rsidP="00517290"/>
        </w:tc>
        <w:tc>
          <w:tcPr>
            <w:tcW w:w="1109" w:type="dxa"/>
          </w:tcPr>
          <w:p w14:paraId="1F715062" w14:textId="335EDC71" w:rsidR="00517290" w:rsidRPr="00B06056" w:rsidRDefault="00E44421" w:rsidP="00517290">
            <w:pPr>
              <w:jc w:val="center"/>
              <w:rPr>
                <w:b/>
                <w:sz w:val="40"/>
                <w:szCs w:val="40"/>
              </w:rPr>
            </w:pPr>
            <w:r w:rsidRPr="0051484D">
              <w:rPr>
                <w:rFonts w:ascii="Zapf Dingbats" w:hAnsi="Zapf Dingbats"/>
                <w:color w:val="000000"/>
              </w:rPr>
              <w:t>✔</w:t>
            </w:r>
          </w:p>
        </w:tc>
        <w:tc>
          <w:tcPr>
            <w:tcW w:w="1260" w:type="dxa"/>
          </w:tcPr>
          <w:p w14:paraId="59258B34" w14:textId="77777777" w:rsidR="00517290" w:rsidRPr="00B06056" w:rsidRDefault="00517290" w:rsidP="00517290">
            <w:pPr>
              <w:jc w:val="center"/>
              <w:rPr>
                <w:b/>
                <w:sz w:val="40"/>
                <w:szCs w:val="40"/>
              </w:rPr>
            </w:pPr>
          </w:p>
        </w:tc>
        <w:tc>
          <w:tcPr>
            <w:tcW w:w="1327" w:type="dxa"/>
          </w:tcPr>
          <w:p w14:paraId="105A2E4C" w14:textId="77777777" w:rsidR="00517290" w:rsidRPr="00B06056" w:rsidRDefault="00517290" w:rsidP="00517290">
            <w:pPr>
              <w:jc w:val="center"/>
              <w:rPr>
                <w:b/>
                <w:sz w:val="40"/>
                <w:szCs w:val="40"/>
              </w:rPr>
            </w:pPr>
          </w:p>
        </w:tc>
        <w:tc>
          <w:tcPr>
            <w:tcW w:w="8814" w:type="dxa"/>
          </w:tcPr>
          <w:p w14:paraId="19608C73" w14:textId="77777777" w:rsidR="00144B26" w:rsidRPr="00042307" w:rsidRDefault="00144B26" w:rsidP="00144B26">
            <w:r w:rsidRPr="00042307">
              <w:t xml:space="preserve">The faculty member should add to the syllabus an overview and contact information for the student academic services offered on the OSU main campus. </w:t>
            </w:r>
          </w:p>
          <w:p w14:paraId="27F8C6E9" w14:textId="77777777" w:rsidR="00144B26" w:rsidRPr="00042307" w:rsidRDefault="00144B26" w:rsidP="00144B26"/>
          <w:p w14:paraId="6EAEDC5E" w14:textId="0DF395CA" w:rsidR="00517290" w:rsidRDefault="00144B26" w:rsidP="00144B26">
            <w:hyperlink r:id="rId8" w:history="1">
              <w:r w:rsidRPr="00042307">
                <w:rPr>
                  <w:rFonts w:cs="Calibri"/>
                  <w:color w:val="0000FF"/>
                  <w:u w:val="single" w:color="0000FF"/>
                </w:rPr>
                <w:t>http://artsandsciences.osu.edu/current-students/university-resources</w:t>
              </w:r>
            </w:hyperlink>
          </w:p>
        </w:tc>
      </w:tr>
      <w:tr w:rsidR="00517290" w14:paraId="51DB1C56" w14:textId="77777777" w:rsidTr="00517290">
        <w:tc>
          <w:tcPr>
            <w:tcW w:w="4698" w:type="dxa"/>
          </w:tcPr>
          <w:p w14:paraId="1C0332FF" w14:textId="77777777" w:rsidR="00517290" w:rsidRPr="00162F0E" w:rsidRDefault="00517290" w:rsidP="00517290">
            <w:pPr>
              <w:pStyle w:val="ListParagraph"/>
              <w:numPr>
                <w:ilvl w:val="0"/>
                <w:numId w:val="2"/>
              </w:numPr>
              <w:rPr>
                <w:sz w:val="20"/>
                <w:szCs w:val="20"/>
              </w:rPr>
            </w:pPr>
            <w:r w:rsidRPr="00162F0E">
              <w:rPr>
                <w:sz w:val="20"/>
                <w:szCs w:val="20"/>
              </w:rPr>
              <w:t>Course instructions articulate or link to an explanation of how the institution’s student support services can help students succeed and how students can access these services.</w:t>
            </w:r>
            <w:r w:rsidRPr="00162F0E">
              <w:rPr>
                <w:sz w:val="20"/>
                <w:szCs w:val="20"/>
              </w:rPr>
              <w:br/>
            </w:r>
          </w:p>
        </w:tc>
        <w:tc>
          <w:tcPr>
            <w:tcW w:w="1109" w:type="dxa"/>
          </w:tcPr>
          <w:p w14:paraId="41C81623" w14:textId="0C432BE4" w:rsidR="00517290" w:rsidRPr="00B06056" w:rsidRDefault="00E44421" w:rsidP="00517290">
            <w:pPr>
              <w:jc w:val="center"/>
              <w:rPr>
                <w:b/>
                <w:sz w:val="40"/>
                <w:szCs w:val="40"/>
              </w:rPr>
            </w:pPr>
            <w:r w:rsidRPr="003A61CA">
              <w:rPr>
                <w:rFonts w:ascii="Zapf Dingbats" w:hAnsi="Zapf Dingbats"/>
                <w:color w:val="000000"/>
              </w:rPr>
              <w:t>✔</w:t>
            </w:r>
          </w:p>
        </w:tc>
        <w:tc>
          <w:tcPr>
            <w:tcW w:w="1260" w:type="dxa"/>
          </w:tcPr>
          <w:p w14:paraId="34060AB7" w14:textId="77777777" w:rsidR="00517290" w:rsidRPr="00B06056" w:rsidRDefault="00517290" w:rsidP="00517290">
            <w:pPr>
              <w:jc w:val="center"/>
              <w:rPr>
                <w:b/>
                <w:sz w:val="40"/>
                <w:szCs w:val="40"/>
              </w:rPr>
            </w:pPr>
          </w:p>
        </w:tc>
        <w:tc>
          <w:tcPr>
            <w:tcW w:w="1327" w:type="dxa"/>
          </w:tcPr>
          <w:p w14:paraId="66D5EBB0" w14:textId="77777777" w:rsidR="00517290" w:rsidRPr="00B06056" w:rsidRDefault="00517290" w:rsidP="00517290">
            <w:pPr>
              <w:jc w:val="center"/>
              <w:rPr>
                <w:b/>
                <w:sz w:val="40"/>
                <w:szCs w:val="40"/>
              </w:rPr>
            </w:pPr>
          </w:p>
        </w:tc>
        <w:tc>
          <w:tcPr>
            <w:tcW w:w="8814" w:type="dxa"/>
          </w:tcPr>
          <w:p w14:paraId="3A5528A3" w14:textId="77777777" w:rsidR="00144B26" w:rsidRPr="00042307" w:rsidRDefault="00144B26" w:rsidP="00144B26">
            <w:r w:rsidRPr="00042307">
              <w:t xml:space="preserve">The faculty member should add to the syllabus an overview and contact information for student services offered on the OSU main campus. </w:t>
            </w:r>
          </w:p>
          <w:p w14:paraId="7004BB32" w14:textId="77777777" w:rsidR="00144B26" w:rsidRPr="00042307" w:rsidRDefault="00144B26" w:rsidP="00144B26"/>
          <w:p w14:paraId="008E6009" w14:textId="77777777" w:rsidR="00144B26" w:rsidRPr="00042307" w:rsidRDefault="00144B26" w:rsidP="00144B26">
            <w:hyperlink r:id="rId9" w:history="1">
              <w:r w:rsidRPr="00042307">
                <w:rPr>
                  <w:color w:val="0000FF" w:themeColor="hyperlink"/>
                  <w:u w:val="single"/>
                </w:rPr>
                <w:t>http://ssc.osu.edu</w:t>
              </w:r>
            </w:hyperlink>
          </w:p>
          <w:p w14:paraId="37BFBDA4" w14:textId="77777777" w:rsidR="00517290" w:rsidRDefault="00517290" w:rsidP="00517290"/>
        </w:tc>
      </w:tr>
    </w:tbl>
    <w:p w14:paraId="5DDAEE53" w14:textId="77777777" w:rsidR="00517290" w:rsidRDefault="00517290" w:rsidP="00517290"/>
    <w:p w14:paraId="32F5D340" w14:textId="77777777" w:rsidR="00517290" w:rsidRDefault="00517290" w:rsidP="00517290"/>
    <w:p w14:paraId="1BB603B6" w14:textId="77777777" w:rsidR="00855DC8" w:rsidRDefault="00855DC8"/>
    <w:sectPr w:rsidR="00855DC8" w:rsidSect="00517290">
      <w:pgSz w:w="2016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Zapf Dingbats">
    <w:panose1 w:val="05020102010704020609"/>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49C"/>
    <w:multiLevelType w:val="hybridMultilevel"/>
    <w:tmpl w:val="A4B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5E13C1"/>
    <w:multiLevelType w:val="hybridMultilevel"/>
    <w:tmpl w:val="FDBC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90"/>
    <w:rsid w:val="00144B26"/>
    <w:rsid w:val="002C216A"/>
    <w:rsid w:val="004D7365"/>
    <w:rsid w:val="00517290"/>
    <w:rsid w:val="00804BA7"/>
    <w:rsid w:val="00855DC8"/>
    <w:rsid w:val="008C0B80"/>
    <w:rsid w:val="00AE4F42"/>
    <w:rsid w:val="00B11778"/>
    <w:rsid w:val="00BF767D"/>
    <w:rsid w:val="00D56373"/>
    <w:rsid w:val="00E44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6D74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72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7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rmen-services.it.ohio-state.edu/carmen-help/students/" TargetMode="External"/><Relationship Id="rId7" Type="http://schemas.openxmlformats.org/officeDocument/2006/relationships/hyperlink" Target="http://ada.osu.edu/resources/Links.htm" TargetMode="External"/><Relationship Id="rId8" Type="http://schemas.openxmlformats.org/officeDocument/2006/relationships/hyperlink" Target="http://artsandsciences.osu.edu/current-students/university-resources" TargetMode="External"/><Relationship Id="rId9" Type="http://schemas.openxmlformats.org/officeDocument/2006/relationships/hyperlink" Target="http://ssc.osu.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636</Words>
  <Characters>3629</Characters>
  <Application>Microsoft Macintosh Word</Application>
  <DocSecurity>0</DocSecurity>
  <Lines>30</Lines>
  <Paragraphs>8</Paragraphs>
  <ScaleCrop>false</ScaleCrop>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Kaylor</dc:creator>
  <cp:keywords/>
  <dc:description/>
  <cp:lastModifiedBy>Mike Kaylor</cp:lastModifiedBy>
  <cp:revision>5</cp:revision>
  <dcterms:created xsi:type="dcterms:W3CDTF">2014-02-03T18:52:00Z</dcterms:created>
  <dcterms:modified xsi:type="dcterms:W3CDTF">2014-02-03T20:01:00Z</dcterms:modified>
</cp:coreProperties>
</file>